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22" w:tblpY="346"/>
        <w:tblOverlap w:val="never"/>
        <w:tblW w:w="119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2"/>
        <w:gridCol w:w="1125"/>
        <w:gridCol w:w="1125"/>
        <w:gridCol w:w="1786"/>
        <w:gridCol w:w="67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产品编码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类型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  <w:t>固含量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推荐用途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产品特点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AC253</w:t>
            </w:r>
            <w:bookmarkEnd w:id="0"/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丙烯酸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49-51%</w:t>
            </w:r>
          </w:p>
        </w:tc>
        <w:tc>
          <w:tcPr>
            <w:tcW w:w="17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蜡水</w:t>
            </w:r>
          </w:p>
        </w:tc>
        <w:tc>
          <w:tcPr>
            <w:tcW w:w="67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55555"/>
                <w:spacing w:val="0"/>
                <w:kern w:val="0"/>
                <w:sz w:val="18"/>
                <w:szCs w:val="18"/>
                <w:lang w:val="en-US" w:eastAsia="zh-CN" w:bidi="ar"/>
              </w:rPr>
              <w:t>清透，杰出的打磨性和抗粘连性能，相容性好，与软聚氨酯搭配能提供超高光的漆面效果。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65D04"/>
    <w:rsid w:val="5CF6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2019-03-06T06:28:00Z</dcterms:created>
  <dc:creator>Administrator</dc:creator>
  <cp:lastModifiedBy>Administrator</cp:lastModifiedBy>
  <dcterms:modified xsi:type="dcterms:W3CDTF">2019-03-06T06:29:05Z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