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Style w:val="4"/>
          <w:rFonts w:hint="eastAsia" w:ascii="宋体" w:hAnsi="宋体" w:eastAsia="宋体" w:cs="宋体"/>
          <w:b/>
          <w:i w:val="0"/>
          <w:caps w:val="0"/>
          <w:color w:val="555555"/>
          <w:spacing w:val="0"/>
          <w:sz w:val="54"/>
          <w:szCs w:val="54"/>
        </w:rPr>
      </w:pPr>
      <w:bookmarkStart w:id="0" w:name="_GoBack"/>
      <w:r>
        <w:rPr>
          <w:rStyle w:val="4"/>
          <w:rFonts w:hint="eastAsia" w:ascii="宋体" w:hAnsi="宋体" w:eastAsia="宋体" w:cs="宋体"/>
          <w:b/>
          <w:i w:val="0"/>
          <w:caps w:val="0"/>
          <w:color w:val="555555"/>
          <w:spacing w:val="0"/>
          <w:sz w:val="54"/>
          <w:szCs w:val="54"/>
        </w:rPr>
        <w:t>AH04 水性羟基丙烯酸树脂</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粒径细，漆膜清透干速快。</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干速快，底漆可打磨时间短（2 小时可打磨）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初始硬度优秀。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抗回粘性能好。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硬度高，耐化学性，耐热水性好。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eastAsia" w:ascii="宋体" w:hAnsi="宋体" w:eastAsia="宋体" w:cs="宋体"/>
          <w:b/>
          <w:i w:val="0"/>
          <w:caps w:val="0"/>
          <w:color w:val="555555"/>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产品特性：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粒径细，漆膜清透干速快。</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干速快，底漆可打磨时间短（2 小时可打磨）。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初始硬度优秀。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抗回粘性能好。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硬度高，耐化学性，耐热水性好。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Fonts w:hint="eastAsia" w:ascii="宋体" w:hAnsi="宋体" w:eastAsia="宋体" w:cs="宋体"/>
          <w:b/>
          <w:i w:val="0"/>
          <w:caps w:val="0"/>
          <w:color w:val="555555"/>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典型物理规格：</w:t>
      </w:r>
    </w:p>
    <w:tbl>
      <w:tblPr>
        <w:tblStyle w:val="5"/>
        <w:tblW w:w="3780" w:type="dxa"/>
        <w:tblInd w:w="6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2040"/>
        <w:gridCol w:w="17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trPr>
        <w:tc>
          <w:tcPr>
            <w:tcW w:w="204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主要成份</w:t>
            </w:r>
          </w:p>
        </w:tc>
        <w:tc>
          <w:tcPr>
            <w:tcW w:w="174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含羟基丙烯酸聚合物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040" w:type="dxa"/>
            <w:tcBorders>
              <w:top w:val="single" w:color="auto" w:sz="6" w:space="0"/>
              <w:left w:val="single" w:color="auto" w:sz="6" w:space="0"/>
              <w:bottom w:val="single" w:color="auto" w:sz="6" w:space="0"/>
              <w:right w:val="single" w:color="auto" w:sz="6" w:space="0"/>
            </w:tcBorders>
            <w:shd w:val="clear" w:color="auto" w:fill="auto"/>
            <w:tcMar>
              <w:top w:w="30" w:type="dxa"/>
              <w:left w:w="120" w:type="dxa"/>
              <w:bottom w:w="30" w:type="dxa"/>
              <w:right w:w="120" w:type="dxa"/>
            </w:tcMar>
            <w:vAlign w:val="center"/>
          </w:tcPr>
          <w:p>
            <w:pPr>
              <w:keepNext w:val="0"/>
              <w:keepLines w:val="0"/>
              <w:widowControl/>
              <w:suppressLineNumbers w:val="0"/>
              <w:wordWrap w:val="0"/>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kern w:val="0"/>
                <w:sz w:val="24"/>
                <w:szCs w:val="24"/>
                <w:lang w:val="en-US" w:eastAsia="zh-CN" w:bidi="ar"/>
              </w:rPr>
              <w:t>外观</w:t>
            </w:r>
          </w:p>
        </w:tc>
        <w:tc>
          <w:tcPr>
            <w:tcW w:w="1740" w:type="dxa"/>
            <w:tcBorders>
              <w:top w:val="single" w:color="auto" w:sz="6" w:space="0"/>
              <w:left w:val="single" w:color="auto" w:sz="6" w:space="0"/>
              <w:bottom w:val="single" w:color="auto" w:sz="6" w:space="0"/>
              <w:right w:val="single" w:color="auto" w:sz="6" w:space="0"/>
            </w:tcBorders>
            <w:shd w:val="clear" w:color="auto" w:fill="auto"/>
            <w:tcMar>
              <w:top w:w="30" w:type="dxa"/>
              <w:left w:w="120" w:type="dxa"/>
              <w:bottom w:w="30" w:type="dxa"/>
              <w:right w:w="120" w:type="dxa"/>
            </w:tcMar>
            <w:vAlign w:val="center"/>
          </w:tcPr>
          <w:p>
            <w:pPr>
              <w:keepNext w:val="0"/>
              <w:keepLines w:val="0"/>
              <w:widowControl/>
              <w:suppressLineNumbers w:val="0"/>
              <w:wordWrap w:val="0"/>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kern w:val="0"/>
                <w:sz w:val="24"/>
                <w:szCs w:val="24"/>
                <w:lang w:val="en-US" w:eastAsia="zh-CN" w:bidi="ar"/>
              </w:rPr>
              <w:t>半透明液体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204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固含量</w:t>
            </w:r>
          </w:p>
        </w:tc>
        <w:tc>
          <w:tcPr>
            <w:tcW w:w="174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42±1%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204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PH值</w:t>
            </w:r>
          </w:p>
        </w:tc>
        <w:tc>
          <w:tcPr>
            <w:tcW w:w="174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6.0-8.0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204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粘度</w:t>
            </w:r>
          </w:p>
        </w:tc>
        <w:tc>
          <w:tcPr>
            <w:tcW w:w="174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&lt;1000CPS/25℃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204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羟基含量</w:t>
            </w:r>
          </w:p>
        </w:tc>
        <w:tc>
          <w:tcPr>
            <w:tcW w:w="174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约 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c>
          <w:tcPr>
            <w:tcW w:w="2040" w:type="dxa"/>
            <w:tcBorders>
              <w:top w:val="single" w:color="auto" w:sz="6" w:space="0"/>
              <w:left w:val="single" w:color="auto" w:sz="6" w:space="0"/>
              <w:bottom w:val="single" w:color="auto" w:sz="6" w:space="0"/>
              <w:right w:val="single" w:color="auto" w:sz="6" w:space="0"/>
            </w:tcBorders>
            <w:shd w:val="clear" w:color="auto" w:fill="auto"/>
            <w:tcMar>
              <w:top w:w="30" w:type="dxa"/>
              <w:left w:w="120" w:type="dxa"/>
              <w:bottom w:w="30" w:type="dxa"/>
              <w:right w:w="120" w:type="dxa"/>
            </w:tcMar>
            <w:vAlign w:val="center"/>
          </w:tcPr>
          <w:p>
            <w:pPr>
              <w:keepNext w:val="0"/>
              <w:keepLines w:val="0"/>
              <w:widowControl/>
              <w:suppressLineNumbers w:val="0"/>
              <w:wordWrap w:val="0"/>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kern w:val="0"/>
                <w:sz w:val="24"/>
                <w:szCs w:val="24"/>
                <w:lang w:val="en-US" w:eastAsia="zh-CN" w:bidi="ar"/>
              </w:rPr>
              <w:t>MFT</w:t>
            </w:r>
          </w:p>
        </w:tc>
        <w:tc>
          <w:tcPr>
            <w:tcW w:w="1740" w:type="dxa"/>
            <w:tcBorders>
              <w:top w:val="single" w:color="auto" w:sz="6" w:space="0"/>
              <w:left w:val="single" w:color="auto" w:sz="6" w:space="0"/>
              <w:bottom w:val="single" w:color="auto" w:sz="6" w:space="0"/>
              <w:right w:val="single" w:color="auto" w:sz="6" w:space="0"/>
            </w:tcBorders>
            <w:shd w:val="clear" w:color="auto" w:fill="auto"/>
            <w:tcMar>
              <w:top w:w="30" w:type="dxa"/>
              <w:left w:w="120" w:type="dxa"/>
              <w:bottom w:w="30" w:type="dxa"/>
              <w:right w:w="120" w:type="dxa"/>
            </w:tcMar>
            <w:vAlign w:val="center"/>
          </w:tcPr>
          <w:p>
            <w:pPr>
              <w:keepNext w:val="0"/>
              <w:keepLines w:val="0"/>
              <w:widowControl/>
              <w:suppressLineNumbers w:val="0"/>
              <w:wordWrap w:val="0"/>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kern w:val="0"/>
                <w:sz w:val="24"/>
                <w:szCs w:val="24"/>
                <w:lang w:val="en-US" w:eastAsia="zh-CN" w:bidi="ar"/>
              </w:rPr>
              <w:t>约 45℃</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Fonts w:hint="eastAsia" w:ascii="宋体" w:hAnsi="宋体" w:eastAsia="宋体" w:cs="宋体"/>
          <w:b/>
          <w:i w:val="0"/>
          <w:caps w:val="0"/>
          <w:color w:val="555555"/>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应用指引：：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-此产品可用于水性双组份 PU 木器底漆和面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-根据使用的需要，按树脂添加量加入 4-6% 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成膜助剂以达到生产线的要求。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包装规格：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提供 120KG 包装。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555555"/>
          <w:spacing w:val="0"/>
          <w:sz w:val="27"/>
          <w:szCs w:val="27"/>
        </w:rPr>
        <w:t>贮存要求：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贮储环境温度应在 15℃-35℃，不能在太阳光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直射条件下存放，本品可在 12 个月内使用。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Fonts w:hint="eastAsia" w:ascii="宋体" w:hAnsi="宋体" w:eastAsia="宋体" w:cs="宋体"/>
          <w:b/>
          <w:i w:val="0"/>
          <w:caps w:val="0"/>
          <w:color w:val="555555"/>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FF0000"/>
          <w:spacing w:val="0"/>
          <w:sz w:val="27"/>
          <w:szCs w:val="27"/>
        </w:rPr>
        <w:t>安全声明：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本品含有微量刺激性物质，如粘附在手中或溅入眼睛内，我们建议用大量清水冲洗后并即到医院进行详细检查，以确保安全。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4"/>
          <w:rFonts w:hint="eastAsia" w:ascii="宋体" w:hAnsi="宋体" w:eastAsia="宋体" w:cs="宋体"/>
          <w:b/>
          <w:i w:val="0"/>
          <w:caps w:val="0"/>
          <w:color w:val="FF0000"/>
          <w:spacing w:val="0"/>
          <w:sz w:val="27"/>
          <w:szCs w:val="27"/>
        </w:rPr>
        <w:t>免责声明：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以上数据和建议是以我们认为可靠的信息为基础，我们真诚提供以上数据，但不能保证其作为我们控制范围的条件和方法来使用我们的产品，我们建议客户在选用我们的产品和采纳我们的建议前确定它们的适用性。</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FF5FCF"/>
    <w:rsid w:val="6DFF5F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2019-03-06T06:43:00Z</dcterms:created>
  <dc:creator>Administrator</dc:creator>
  <cp:lastModifiedBy>Administrator</cp:lastModifiedBy>
  <dcterms:modified xsi:type="dcterms:W3CDTF">2019-03-06T06:44:02Z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