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4"/>
          <w:rFonts w:hint="eastAsia" w:ascii="宋体" w:hAnsi="宋体" w:eastAsia="宋体" w:cs="宋体"/>
          <w:b/>
          <w:i w:val="0"/>
          <w:caps w:val="0"/>
          <w:color w:val="555555"/>
          <w:spacing w:val="0"/>
          <w:sz w:val="31"/>
          <w:szCs w:val="31"/>
        </w:rPr>
      </w:pPr>
      <w:bookmarkStart w:id="0" w:name="_GoBack"/>
      <w:r>
        <w:rPr>
          <w:rStyle w:val="4"/>
          <w:rFonts w:hint="eastAsia" w:ascii="宋体" w:hAnsi="宋体" w:eastAsia="宋体" w:cs="宋体"/>
          <w:b/>
          <w:i w:val="0"/>
          <w:caps w:val="0"/>
          <w:color w:val="555555"/>
          <w:spacing w:val="0"/>
          <w:sz w:val="31"/>
          <w:szCs w:val="31"/>
        </w:rPr>
        <w:t>AC-223水性丙烯酸树脂</w:t>
      </w:r>
    </w:p>
    <w:bookmarkEnd w:id="0"/>
    <w:p>
      <w:pPr>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AC-223是纯丙烯酸共聚物核壳结构乳液，采用特殊合成工艺及先进的自交联体系，是水性木器底面通用树脂，耐黄变，打磨性优秀，性价比好，耐水性优异，耐化学性好。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4"/>
          <w:szCs w:val="24"/>
        </w:rPr>
        <w:t>产品特性：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粒径细，漆膜清透丰满。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防木材起筋性优秀。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抗回粘性能优秀。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优异打磨性，不粘砂纸。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耐酒精性优秀。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符合欧盟环保标准。</w:t>
      </w:r>
    </w:p>
    <w:p>
      <w:pPr>
        <w:rPr>
          <w:rFonts w:hint="eastAsia" w:ascii="宋体" w:hAnsi="宋体" w:eastAsia="宋体" w:cs="宋体"/>
          <w:b/>
          <w:i w:val="0"/>
          <w:caps w:val="0"/>
          <w:color w:val="555555"/>
          <w:spacing w:val="0"/>
          <w:sz w:val="24"/>
          <w:szCs w:val="24"/>
        </w:rPr>
      </w:pPr>
    </w:p>
    <w:tbl>
      <w:tblPr>
        <w:tblStyle w:val="5"/>
        <w:tblW w:w="104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898"/>
        <w:gridCol w:w="3195"/>
        <w:gridCol w:w="900"/>
        <w:gridCol w:w="44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gridAfter w:val="3"/>
          <w:wAfter w:w="8527" w:type="dxa"/>
          <w:trHeight w:val="450" w:hRule="atLeast"/>
        </w:trPr>
        <w:tc>
          <w:tcPr>
            <w:tcW w:w="1898" w:type="dxa"/>
            <w:shd w:val="clear" w:color="auto" w:fill="auto"/>
            <w:vAlign w:val="center"/>
          </w:tcPr>
          <w:p>
            <w:pPr>
              <w:jc w:val="left"/>
              <w:rPr>
                <w:rFonts w:hint="eastAsia" w:ascii="宋体" w:hAnsi="宋体" w:eastAsia="宋体" w:cs="宋体"/>
                <w:b/>
                <w:i w:val="0"/>
                <w:caps w:val="0"/>
                <w:color w:val="555555"/>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75" w:hRule="atLeast"/>
        </w:trPr>
        <w:tc>
          <w:tcPr>
            <w:tcW w:w="5093" w:type="dxa"/>
            <w:gridSpan w:val="2"/>
            <w:tcBorders>
              <w:top w:val="nil"/>
              <w:left w:val="nil"/>
              <w:bottom w:val="single" w:color="auto" w:sz="6" w:space="0"/>
              <w:right w:val="nil"/>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Style w:val="4"/>
                <w:rFonts w:hint="eastAsia" w:ascii="宋体" w:hAnsi="宋体" w:eastAsia="宋体" w:cs="宋体"/>
                <w:b/>
                <w:i w:val="0"/>
                <w:caps w:val="0"/>
                <w:color w:val="555555"/>
                <w:spacing w:val="0"/>
                <w:sz w:val="24"/>
                <w:szCs w:val="24"/>
              </w:rPr>
              <w:t>典型物理规格：</w:t>
            </w:r>
          </w:p>
        </w:tc>
        <w:tc>
          <w:tcPr>
            <w:tcW w:w="900" w:type="dxa"/>
            <w:tcBorders>
              <w:top w:val="nil"/>
              <w:left w:val="nil"/>
              <w:bottom w:val="nil"/>
              <w:right w:val="nil"/>
            </w:tcBorders>
            <w:shd w:val="clear" w:color="auto" w:fill="auto"/>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p>
        </w:tc>
        <w:tc>
          <w:tcPr>
            <w:tcW w:w="4432" w:type="dxa"/>
            <w:vMerge w:val="restart"/>
            <w:tcBorders>
              <w:top w:val="nil"/>
              <w:left w:val="nil"/>
              <w:bottom w:val="nil"/>
              <w:right w:val="nil"/>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20" w:hRule="atLeast"/>
        </w:trPr>
        <w:tc>
          <w:tcPr>
            <w:tcW w:w="1898"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主要成份：</w:t>
            </w:r>
          </w:p>
        </w:tc>
        <w:tc>
          <w:tcPr>
            <w:tcW w:w="319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i w:val="0"/>
                <w:caps w:val="0"/>
                <w:color w:val="555555"/>
                <w:spacing w:val="0"/>
                <w:sz w:val="24"/>
                <w:szCs w:val="24"/>
              </w:rPr>
              <w:t>丙烯酸聚合物</w:t>
            </w:r>
          </w:p>
        </w:tc>
        <w:tc>
          <w:tcPr>
            <w:tcW w:w="900" w:type="dxa"/>
            <w:tcBorders>
              <w:top w:val="nil"/>
              <w:left w:val="nil"/>
              <w:bottom w:val="nil"/>
              <w:right w:val="nil"/>
            </w:tcBorders>
            <w:shd w:val="clear" w:color="auto" w:fill="auto"/>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p>
        </w:tc>
        <w:tc>
          <w:tcPr>
            <w:tcW w:w="4432" w:type="dxa"/>
            <w:vMerge w:val="continue"/>
            <w:tcBorders>
              <w:top w:val="nil"/>
              <w:left w:val="nil"/>
              <w:bottom w:val="nil"/>
              <w:right w:val="nil"/>
            </w:tcBorders>
            <w:shd w:val="clear" w:color="auto" w:fill="auto"/>
            <w:tcMar>
              <w:left w:w="105" w:type="dxa"/>
              <w:right w:w="105" w:type="dxa"/>
            </w:tcMar>
            <w:vAlign w:val="top"/>
          </w:tcPr>
          <w:p>
            <w:pPr>
              <w:jc w:val="left"/>
              <w:rPr>
                <w:rFonts w:hint="eastAsia" w:ascii="宋体" w:hAnsi="宋体" w:eastAsia="宋体" w:cs="宋体"/>
                <w:b/>
                <w:i w:val="0"/>
                <w:caps w:val="0"/>
                <w:color w:val="555555"/>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0" w:hRule="atLeast"/>
        </w:trPr>
        <w:tc>
          <w:tcPr>
            <w:tcW w:w="1898"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外    观：</w:t>
            </w:r>
          </w:p>
        </w:tc>
        <w:tc>
          <w:tcPr>
            <w:tcW w:w="319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i w:val="0"/>
                <w:caps w:val="0"/>
                <w:color w:val="555555"/>
                <w:spacing w:val="0"/>
                <w:sz w:val="24"/>
                <w:szCs w:val="24"/>
              </w:rPr>
              <w:t>半透明乳白液体</w:t>
            </w:r>
          </w:p>
        </w:tc>
        <w:tc>
          <w:tcPr>
            <w:tcW w:w="900" w:type="dxa"/>
            <w:tcBorders>
              <w:top w:val="nil"/>
              <w:left w:val="nil"/>
              <w:bottom w:val="nil"/>
              <w:right w:val="nil"/>
            </w:tcBorders>
            <w:shd w:val="clear" w:color="auto" w:fill="auto"/>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p>
        </w:tc>
        <w:tc>
          <w:tcPr>
            <w:tcW w:w="4432" w:type="dxa"/>
            <w:vMerge w:val="restart"/>
            <w:tcBorders>
              <w:top w:val="nil"/>
              <w:left w:val="nil"/>
              <w:bottom w:val="nil"/>
              <w:right w:val="nil"/>
            </w:tcBorders>
            <w:shd w:val="clear" w:color="auto" w:fill="auto"/>
            <w:tcMar>
              <w:left w:w="105" w:type="dxa"/>
              <w:right w:w="105" w:type="dxa"/>
            </w:tcMar>
            <w:vAlign w:val="top"/>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0" w:hRule="atLeast"/>
        </w:trPr>
        <w:tc>
          <w:tcPr>
            <w:tcW w:w="1898"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固</w:t>
            </w:r>
            <w:r>
              <w:rPr>
                <w:rFonts w:hint="eastAsia" w:ascii="宋体" w:hAnsi="宋体" w:eastAsia="宋体" w:cs="宋体"/>
                <w:b/>
                <w:i w:val="0"/>
                <w:caps w:val="0"/>
                <w:color w:val="555555"/>
                <w:spacing w:val="0"/>
                <w:sz w:val="18"/>
                <w:szCs w:val="18"/>
              </w:rPr>
              <w:t> </w:t>
            </w:r>
            <w:r>
              <w:rPr>
                <w:rFonts w:hint="eastAsia" w:ascii="宋体" w:hAnsi="宋体" w:eastAsia="宋体" w:cs="宋体"/>
                <w:b/>
                <w:i w:val="0"/>
                <w:caps w:val="0"/>
                <w:color w:val="555555"/>
                <w:spacing w:val="0"/>
                <w:sz w:val="24"/>
                <w:szCs w:val="24"/>
              </w:rPr>
              <w:t>含</w:t>
            </w:r>
            <w:r>
              <w:rPr>
                <w:rFonts w:hint="eastAsia" w:ascii="宋体" w:hAnsi="宋体" w:eastAsia="宋体" w:cs="宋体"/>
                <w:b/>
                <w:i w:val="0"/>
                <w:caps w:val="0"/>
                <w:color w:val="555555"/>
                <w:spacing w:val="0"/>
                <w:sz w:val="18"/>
                <w:szCs w:val="18"/>
              </w:rPr>
              <w:t> </w:t>
            </w:r>
            <w:r>
              <w:rPr>
                <w:rFonts w:hint="eastAsia" w:ascii="宋体" w:hAnsi="宋体" w:eastAsia="宋体" w:cs="宋体"/>
                <w:b/>
                <w:i w:val="0"/>
                <w:caps w:val="0"/>
                <w:color w:val="555555"/>
                <w:spacing w:val="0"/>
                <w:sz w:val="24"/>
                <w:szCs w:val="24"/>
              </w:rPr>
              <w:t>量：</w:t>
            </w:r>
          </w:p>
        </w:tc>
        <w:tc>
          <w:tcPr>
            <w:tcW w:w="319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i w:val="0"/>
                <w:caps w:val="0"/>
                <w:color w:val="555555"/>
                <w:spacing w:val="0"/>
                <w:sz w:val="24"/>
                <w:szCs w:val="24"/>
              </w:rPr>
              <w:t>44-46%</w:t>
            </w:r>
          </w:p>
        </w:tc>
        <w:tc>
          <w:tcPr>
            <w:tcW w:w="900" w:type="dxa"/>
            <w:tcBorders>
              <w:top w:val="nil"/>
              <w:left w:val="nil"/>
              <w:bottom w:val="nil"/>
              <w:right w:val="nil"/>
            </w:tcBorders>
            <w:shd w:val="clear" w:color="auto" w:fill="auto"/>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p>
        </w:tc>
        <w:tc>
          <w:tcPr>
            <w:tcW w:w="4432" w:type="dxa"/>
            <w:vMerge w:val="continue"/>
            <w:tcBorders>
              <w:top w:val="nil"/>
              <w:left w:val="nil"/>
              <w:bottom w:val="nil"/>
              <w:right w:val="nil"/>
            </w:tcBorders>
            <w:shd w:val="clear" w:color="auto" w:fill="auto"/>
            <w:tcMar>
              <w:left w:w="105" w:type="dxa"/>
              <w:right w:w="105" w:type="dxa"/>
            </w:tcMar>
            <w:vAlign w:val="top"/>
          </w:tcPr>
          <w:p>
            <w:pPr>
              <w:jc w:val="left"/>
              <w:rPr>
                <w:rFonts w:hint="eastAsia" w:ascii="宋体" w:hAnsi="宋体" w:eastAsia="宋体" w:cs="宋体"/>
                <w:b/>
                <w:i w:val="0"/>
                <w:caps w:val="0"/>
                <w:color w:val="555555"/>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0" w:hRule="atLeast"/>
        </w:trPr>
        <w:tc>
          <w:tcPr>
            <w:tcW w:w="1898"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粘    度：</w:t>
            </w:r>
          </w:p>
        </w:tc>
        <w:tc>
          <w:tcPr>
            <w:tcW w:w="319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i w:val="0"/>
                <w:caps w:val="0"/>
                <w:color w:val="555555"/>
                <w:spacing w:val="0"/>
                <w:sz w:val="24"/>
                <w:szCs w:val="24"/>
              </w:rPr>
              <w:t>&lt;3000CPS/25℃</w:t>
            </w:r>
          </w:p>
        </w:tc>
        <w:tc>
          <w:tcPr>
            <w:tcW w:w="900" w:type="dxa"/>
            <w:tcBorders>
              <w:top w:val="nil"/>
              <w:left w:val="nil"/>
              <w:bottom w:val="nil"/>
              <w:right w:val="nil"/>
            </w:tcBorders>
            <w:shd w:val="clear" w:color="auto" w:fill="auto"/>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p>
        </w:tc>
        <w:tc>
          <w:tcPr>
            <w:tcW w:w="4432" w:type="dxa"/>
            <w:tcBorders>
              <w:top w:val="nil"/>
              <w:left w:val="nil"/>
              <w:bottom w:val="nil"/>
              <w:right w:val="nil"/>
            </w:tcBorders>
            <w:shd w:val="clear" w:color="auto" w:fill="auto"/>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0" w:hRule="atLeast"/>
        </w:trPr>
        <w:tc>
          <w:tcPr>
            <w:tcW w:w="1898"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PH    值：</w:t>
            </w:r>
          </w:p>
        </w:tc>
        <w:tc>
          <w:tcPr>
            <w:tcW w:w="319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i w:val="0"/>
                <w:caps w:val="0"/>
                <w:color w:val="555555"/>
                <w:spacing w:val="0"/>
                <w:sz w:val="24"/>
                <w:szCs w:val="24"/>
              </w:rPr>
              <w:t>7.0-9.0</w:t>
            </w:r>
          </w:p>
        </w:tc>
        <w:tc>
          <w:tcPr>
            <w:tcW w:w="900" w:type="dxa"/>
            <w:tcBorders>
              <w:top w:val="nil"/>
              <w:left w:val="nil"/>
              <w:bottom w:val="nil"/>
              <w:right w:val="nil"/>
            </w:tcBorders>
            <w:shd w:val="clear" w:color="auto" w:fill="auto"/>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p>
        </w:tc>
        <w:tc>
          <w:tcPr>
            <w:tcW w:w="4432" w:type="dxa"/>
            <w:tcBorders>
              <w:top w:val="nil"/>
              <w:left w:val="nil"/>
              <w:bottom w:val="nil"/>
              <w:right w:val="nil"/>
            </w:tcBorders>
            <w:shd w:val="clear" w:color="auto" w:fill="auto"/>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0" w:hRule="atLeast"/>
        </w:trPr>
        <w:tc>
          <w:tcPr>
            <w:tcW w:w="1898"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Tg：</w:t>
            </w:r>
          </w:p>
        </w:tc>
        <w:tc>
          <w:tcPr>
            <w:tcW w:w="319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i w:val="0"/>
                <w:caps w:val="0"/>
                <w:color w:val="555555"/>
                <w:spacing w:val="0"/>
                <w:sz w:val="24"/>
                <w:szCs w:val="24"/>
              </w:rPr>
              <w:t>50±2℃</w:t>
            </w:r>
          </w:p>
        </w:tc>
        <w:tc>
          <w:tcPr>
            <w:tcW w:w="900" w:type="dxa"/>
            <w:tcBorders>
              <w:top w:val="nil"/>
              <w:left w:val="nil"/>
              <w:bottom w:val="nil"/>
              <w:right w:val="nil"/>
            </w:tcBorders>
            <w:shd w:val="clear" w:color="auto" w:fill="auto"/>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p>
        </w:tc>
        <w:tc>
          <w:tcPr>
            <w:tcW w:w="4432" w:type="dxa"/>
            <w:tcBorders>
              <w:top w:val="nil"/>
              <w:left w:val="nil"/>
              <w:bottom w:val="nil"/>
              <w:right w:val="nil"/>
            </w:tcBorders>
            <w:shd w:val="clear" w:color="auto" w:fill="auto"/>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0" w:hRule="atLeast"/>
        </w:trPr>
        <w:tc>
          <w:tcPr>
            <w:tcW w:w="1898"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MFT：</w:t>
            </w:r>
          </w:p>
        </w:tc>
        <w:tc>
          <w:tcPr>
            <w:tcW w:w="319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i w:val="0"/>
                <w:caps w:val="0"/>
                <w:color w:val="555555"/>
                <w:spacing w:val="0"/>
                <w:sz w:val="24"/>
                <w:szCs w:val="24"/>
              </w:rPr>
              <w:t>约35℃</w:t>
            </w:r>
          </w:p>
        </w:tc>
        <w:tc>
          <w:tcPr>
            <w:tcW w:w="900" w:type="dxa"/>
            <w:shd w:val="clear" w:color="auto" w:fill="auto"/>
            <w:vAlign w:val="center"/>
          </w:tcPr>
          <w:p>
            <w:pPr>
              <w:jc w:val="left"/>
              <w:rPr>
                <w:rFonts w:hint="eastAsia" w:ascii="宋体" w:hAnsi="宋体" w:eastAsia="宋体" w:cs="宋体"/>
                <w:b/>
                <w:i w:val="0"/>
                <w:caps w:val="0"/>
                <w:color w:val="555555"/>
                <w:spacing w:val="0"/>
                <w:sz w:val="18"/>
                <w:szCs w:val="18"/>
              </w:rPr>
            </w:pPr>
          </w:p>
        </w:tc>
        <w:tc>
          <w:tcPr>
            <w:tcW w:w="4432" w:type="dxa"/>
            <w:shd w:val="clear" w:color="auto" w:fill="auto"/>
            <w:vAlign w:val="center"/>
          </w:tcPr>
          <w:p>
            <w:pPr>
              <w:jc w:val="left"/>
              <w:rPr>
                <w:rFonts w:hint="eastAsia" w:ascii="宋体" w:hAnsi="宋体" w:eastAsia="宋体" w:cs="宋体"/>
                <w:b/>
                <w:i w:val="0"/>
                <w:caps w:val="0"/>
                <w:color w:val="555555"/>
                <w:spacing w:val="0"/>
                <w:sz w:val="18"/>
                <w:szCs w:val="18"/>
              </w:rPr>
            </w:pPr>
          </w:p>
        </w:tc>
      </w:tr>
    </w:tbl>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4"/>
          <w:szCs w:val="24"/>
        </w:rPr>
        <w:t>应用推荐：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此产品可用于水性木器底漆和面漆。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4"/>
          <w:szCs w:val="24"/>
        </w:rPr>
        <w:t>使用指引：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35"/>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根据使用的需要，按树脂添加量加入5-8%的成膜助剂以达到生产线的要求。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4"/>
          <w:szCs w:val="24"/>
        </w:rPr>
        <w:t>包装规格：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35"/>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提供60Kg和120Kg两种规格（聚乙烯桶）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4"/>
          <w:szCs w:val="24"/>
        </w:rPr>
        <w:t>贮存要求：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35"/>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贮存环境温度应在15℃-35℃，不能在太阳光直照条件下贮存，本品可在六个月内使用。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4"/>
          <w:szCs w:val="24"/>
        </w:rPr>
        <w:t>安全声明：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本品含有微量刺激性物质，如粘附在手中或溅入眼睛内，我们建议用大量清水冲洗后并即到医院进行详细检查，以确保安全。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4"/>
          <w:szCs w:val="24"/>
        </w:rPr>
        <w:t>免责声明：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以上数据和建议是以我们认为可靠的信息为基础，我们真诚提供以上数据，但不能保证其作为我们控制范围的条件和方法来使用我们的产品，我们建议客户在选用我们的产品和采纳我们的建议前确定它们的适用性。</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6D5547"/>
    <w:rsid w:val="216D55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2019-03-06T06:45:00Z</dcterms:created>
  <dc:creator>Administrator</dc:creator>
  <cp:lastModifiedBy>Administrator</cp:lastModifiedBy>
  <dcterms:modified xsi:type="dcterms:W3CDTF">2019-03-06T06:45:52Z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