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eastAsia" w:ascii="宋体" w:hAnsi="宋体" w:eastAsia="宋体" w:cs="宋体"/>
          <w:b/>
          <w:i w:val="0"/>
          <w:caps w:val="0"/>
          <w:color w:val="555555"/>
          <w:spacing w:val="0"/>
          <w:sz w:val="18"/>
          <w:szCs w:val="18"/>
        </w:rPr>
      </w:pPr>
      <w:r>
        <w:rPr>
          <w:rStyle w:val="5"/>
          <w:rFonts w:hint="eastAsia" w:ascii="宋体" w:hAnsi="宋体" w:eastAsia="宋体" w:cs="宋体"/>
          <w:b/>
          <w:i w:val="0"/>
          <w:caps w:val="0"/>
          <w:color w:val="555555"/>
          <w:spacing w:val="0"/>
          <w:sz w:val="54"/>
          <w:szCs w:val="54"/>
        </w:rPr>
        <w:t>G-800 Water-borne Curing Agent</w:t>
      </w:r>
    </w:p>
    <w:p>
      <w:pPr>
        <w:keepNext w:val="0"/>
        <w:keepLines w:val="0"/>
        <w:widowControl/>
        <w:suppressLineNumbers w:val="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G-800 is a hydrophilic aliphatic polyisocyanate based on hexamethylene diisocyanate (HDI). Because of the balance between moderate hydrophilicity and high functionality, waterborne two-component polyurethane and acrylic coatings prepared by G-800 have the characteristics of fast drying, good fullness and fast hardening. The film formed has the characteristics of the highest ultimate hardness and the best chemical resistance.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Product characteristics: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Good compatibility: In the case of manual slow stirring, it can be directly added and used without any adverse effects.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Long activation period: The activation period is affected by polymer content and other components (such as resins, thickeners, plasticizers, etc.). In many dispersions, the end point of activation (usually a few hours) does not show gelation.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Excellent hardness, toughness and fullness.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Excellent water and chemical resistance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Fonts w:hint="eastAsia" w:ascii="宋体" w:hAnsi="宋体" w:eastAsia="宋体" w:cs="宋体"/>
          <w:b/>
          <w:i w:val="0"/>
          <w:caps w:val="0"/>
          <w:color w:val="555555"/>
          <w:spacing w:val="0"/>
          <w:sz w:val="24"/>
          <w:szCs w:val="24"/>
        </w:rPr>
        <w:t>      Excellent adhesion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lang w:eastAsia="zh-CN"/>
        </w:rPr>
      </w:pPr>
      <w:r>
        <w:rPr>
          <w:rStyle w:val="5"/>
          <w:rFonts w:hint="eastAsia" w:ascii="宋体" w:hAnsi="宋体" w:eastAsia="宋体" w:cs="宋体"/>
          <w:b/>
          <w:i w:val="0"/>
          <w:caps w:val="0"/>
          <w:color w:val="555555"/>
          <w:spacing w:val="0"/>
          <w:sz w:val="27"/>
          <w:szCs w:val="27"/>
          <w:lang w:eastAsia="zh-CN"/>
        </w:rPr>
        <w:t>Typical physical specifications:</w:t>
      </w:r>
    </w:p>
    <w:tbl>
      <w:tblPr>
        <w:tblStyle w:val="3"/>
        <w:tblW w:w="84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217"/>
        <w:gridCol w:w="52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7" w:hRule="atLeast"/>
        </w:trPr>
        <w:tc>
          <w:tcPr>
            <w:tcW w:w="321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wordWrap w:val="0"/>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kern w:val="0"/>
                <w:sz w:val="24"/>
                <w:szCs w:val="24"/>
                <w:lang w:val="en-US" w:eastAsia="zh-CN" w:bidi="ar"/>
              </w:rPr>
              <w:t>Main ingredients</w:t>
            </w:r>
          </w:p>
        </w:tc>
        <w:tc>
          <w:tcPr>
            <w:tcW w:w="526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Hydrophilic aliphatic polyisocyanate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3" w:hRule="atLeast"/>
        </w:trPr>
        <w:tc>
          <w:tcPr>
            <w:tcW w:w="321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Appearance</w:t>
            </w:r>
          </w:p>
        </w:tc>
        <w:tc>
          <w:tcPr>
            <w:tcW w:w="526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Colorless to yellowish transparent liquid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321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Solid content</w:t>
            </w:r>
          </w:p>
        </w:tc>
        <w:tc>
          <w:tcPr>
            <w:tcW w:w="526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80±2%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321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lang w:val="en-US" w:eastAsia="zh-CN"/>
              </w:rPr>
              <w:t>V</w:t>
            </w:r>
            <w:r>
              <w:rPr>
                <w:rFonts w:hint="eastAsia" w:ascii="宋体" w:hAnsi="宋体" w:eastAsia="宋体" w:cs="宋体"/>
                <w:b/>
                <w:i w:val="0"/>
                <w:caps w:val="0"/>
                <w:color w:val="555555"/>
                <w:spacing w:val="0"/>
                <w:sz w:val="24"/>
                <w:szCs w:val="24"/>
              </w:rPr>
              <w:t>iscosity</w:t>
            </w:r>
          </w:p>
        </w:tc>
        <w:tc>
          <w:tcPr>
            <w:tcW w:w="526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&lt;1000cps/25℃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9" w:hRule="atLeast"/>
        </w:trPr>
        <w:tc>
          <w:tcPr>
            <w:tcW w:w="321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NCO content</w:t>
            </w:r>
          </w:p>
        </w:tc>
        <w:tc>
          <w:tcPr>
            <w:tcW w:w="526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13-15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4" w:hRule="atLeast"/>
        </w:trPr>
        <w:tc>
          <w:tcPr>
            <w:tcW w:w="321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Free monomer content</w:t>
            </w:r>
          </w:p>
        </w:tc>
        <w:tc>
          <w:tcPr>
            <w:tcW w:w="526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&lt;0.3%(by weight)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3" w:hRule="atLeast"/>
        </w:trPr>
        <w:tc>
          <w:tcPr>
            <w:tcW w:w="3217"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lang w:val="en-US" w:eastAsia="zh-CN"/>
              </w:rPr>
              <w:t>S</w:t>
            </w:r>
            <w:r>
              <w:rPr>
                <w:rFonts w:hint="eastAsia" w:ascii="宋体" w:hAnsi="宋体" w:eastAsia="宋体" w:cs="宋体"/>
                <w:b/>
                <w:i w:val="0"/>
                <w:caps w:val="0"/>
                <w:color w:val="555555"/>
                <w:spacing w:val="0"/>
                <w:sz w:val="24"/>
                <w:szCs w:val="24"/>
              </w:rPr>
              <w:t>olvent</w:t>
            </w:r>
          </w:p>
        </w:tc>
        <w:tc>
          <w:tcPr>
            <w:tcW w:w="5263"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ascii="宋体" w:hAnsi="宋体" w:eastAsia="宋体" w:cs="宋体"/>
                <w:b/>
                <w:i w:val="0"/>
                <w:caps w:val="0"/>
                <w:color w:val="555555"/>
                <w:spacing w:val="0"/>
                <w:sz w:val="24"/>
                <w:szCs w:val="24"/>
              </w:rPr>
              <w:t>DMM/PMA</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Application Recommendation: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It can be used as crosslinking agent for water-borne hydroxyl resins or polyols and for most of them.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Neutral Water-borne Polymer Dispersions (e.g. Polyurethane, Polyvinyl Acetate)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Fonts w:hint="eastAsia" w:ascii="宋体" w:hAnsi="宋体" w:eastAsia="宋体" w:cs="宋体"/>
          <w:b/>
          <w:i w:val="0"/>
          <w:caps w:val="0"/>
          <w:color w:val="555555"/>
          <w:spacing w:val="0"/>
          <w:sz w:val="24"/>
          <w:szCs w:val="24"/>
        </w:rPr>
        <w:t>Crosslinkers of resins, polyacrylates and synthetic rubber dispersions.</w:t>
      </w:r>
      <w:r>
        <w:rPr>
          <w:rStyle w:val="5"/>
          <w:rFonts w:hint="eastAsia" w:ascii="宋体" w:hAnsi="宋体" w:eastAsia="宋体" w:cs="宋体"/>
          <w:b/>
          <w:i w:val="0"/>
          <w:caps w:val="0"/>
          <w:color w:val="555555"/>
          <w:spacing w:val="0"/>
          <w:sz w:val="27"/>
          <w:szCs w:val="27"/>
        </w:rPr>
        <w:t>Use Guidelines:</w:t>
      </w:r>
    </w:p>
    <w:p>
      <w:pPr>
        <w:keepNext w:val="0"/>
        <w:keepLines w:val="0"/>
        <w:widowControl/>
        <w:suppressLineNumbers w:val="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Generally speaking, the product can be compatible with ester, ether ester, xylene and naphtha No. 100 solvent, solvent can not use alcohol or alcohol ether containing hydroxyl or amino group. The solubility and compatibility of each solvent should be tested. Only polyurethane grade solvents can be used. Water content should not exceed 0.05%. It is suggested that the solvent should not be added to the water-borne two-component coating system.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kern w:val="0"/>
          <w:sz w:val="27"/>
          <w:szCs w:val="27"/>
          <w:lang w:val="en-US" w:eastAsia="zh-CN" w:bidi="ar"/>
        </w:rPr>
      </w:pPr>
      <w:r>
        <w:rPr>
          <w:rStyle w:val="5"/>
          <w:rFonts w:hint="eastAsia" w:ascii="宋体" w:hAnsi="宋体" w:eastAsia="宋体" w:cs="宋体"/>
          <w:b/>
          <w:i w:val="0"/>
          <w:caps w:val="0"/>
          <w:color w:val="555555"/>
          <w:spacing w:val="0"/>
          <w:kern w:val="0"/>
          <w:sz w:val="27"/>
          <w:szCs w:val="27"/>
          <w:lang w:val="en-US" w:eastAsia="zh-CN" w:bidi="ar"/>
        </w:rPr>
        <w:t>Packing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Fonts w:hint="eastAsia" w:ascii="宋体" w:hAnsi="宋体" w:eastAsia="宋体" w:cs="宋体"/>
          <w:b/>
          <w:i w:val="0"/>
          <w:caps w:val="0"/>
          <w:color w:val="555555"/>
          <w:spacing w:val="0"/>
          <w:sz w:val="24"/>
          <w:szCs w:val="24"/>
        </w:rPr>
        <w:t>      Provide 25kg and 60kg specifications (polyethylene barrel).</w:t>
      </w:r>
      <w:r>
        <w:rPr>
          <w:rStyle w:val="5"/>
          <w:rFonts w:hint="eastAsia" w:ascii="宋体" w:hAnsi="宋体" w:eastAsia="宋体" w:cs="宋体"/>
          <w:b/>
          <w:i w:val="0"/>
          <w:caps w:val="0"/>
          <w:color w:val="555555"/>
          <w:spacing w:val="0"/>
          <w:sz w:val="27"/>
          <w:szCs w:val="27"/>
        </w:rPr>
        <w:t>Storage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Fonts w:hint="eastAsia" w:ascii="宋体" w:hAnsi="宋体" w:eastAsia="宋体" w:cs="宋体"/>
          <w:b/>
          <w:i w:val="0"/>
          <w:caps w:val="0"/>
          <w:color w:val="555555"/>
          <w:spacing w:val="0"/>
          <w:sz w:val="24"/>
          <w:szCs w:val="24"/>
        </w:rPr>
        <w:t>      The product is very sensitive to humidity, so it must be stored in sealed containers and used up as soon as possible after opening. Storage ambient temperature should be 15 - 35 C, can not be stored under direct sunlight conditions, this product can be used within six months. Six months later, it can still be used after passing the inspection.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5"/>
          <w:rFonts w:hint="eastAsia" w:ascii="宋体" w:hAnsi="宋体" w:eastAsia="宋体" w:cs="宋体"/>
          <w:b/>
          <w:i w:val="0"/>
          <w:caps w:val="0"/>
          <w:color w:val="FF0000"/>
          <w:spacing w:val="0"/>
          <w:sz w:val="27"/>
          <w:szCs w:val="27"/>
        </w:rPr>
        <w:t>Security Statement: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This product contains trace irritant substances, such as adhering to the hands and washing with water. If it splashes into the eyes, we recommend to wash it with plenty of clean water and then go to the hospital for detailed examination to ensure safety.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18"/>
          <w:szCs w:val="18"/>
        </w:rPr>
      </w:pPr>
      <w:r>
        <w:rPr>
          <w:rStyle w:val="5"/>
          <w:rFonts w:hint="eastAsia" w:ascii="宋体" w:hAnsi="宋体" w:eastAsia="宋体" w:cs="宋体"/>
          <w:b/>
          <w:i w:val="0"/>
          <w:caps w:val="0"/>
          <w:color w:val="FF0000"/>
          <w:spacing w:val="0"/>
          <w:sz w:val="27"/>
          <w:szCs w:val="27"/>
        </w:rPr>
        <w:t>Disclaimer: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       The above data and suggestions are based on what we believe to be reliable information. We sincerely provide the above data, but can not guarantee that it will be used as a condition and method of our control. We recommend that customers determine their applicability before choosing our products and adopting our suggestions.</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B47AB4"/>
    <w:rsid w:val="049F18DE"/>
    <w:rsid w:val="2EB47A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2019-03-06T06:06:00Z</dcterms:created>
  <dc:creator>Administrator</dc:creator>
  <cp:lastModifiedBy>Administrator</cp:lastModifiedBy>
  <dcterms:modified xsi:type="dcterms:W3CDTF">2019-04-01T07:59:22Z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