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left"/>
        <w:rPr>
          <w:rStyle w:val="5"/>
          <w:rFonts w:hint="eastAsia" w:ascii="宋体" w:hAnsi="宋体" w:eastAsia="宋体" w:cs="宋体"/>
          <w:b/>
          <w:i w:val="0"/>
          <w:caps w:val="0"/>
          <w:color w:val="555555"/>
          <w:spacing w:val="0"/>
          <w:sz w:val="54"/>
          <w:szCs w:val="54"/>
        </w:rPr>
      </w:pPr>
      <w:r>
        <w:rPr>
          <w:rStyle w:val="5"/>
          <w:rFonts w:hint="eastAsia" w:ascii="宋体" w:hAnsi="宋体" w:eastAsia="宋体" w:cs="宋体"/>
          <w:b/>
          <w:i w:val="0"/>
          <w:caps w:val="0"/>
          <w:color w:val="555555"/>
          <w:spacing w:val="0"/>
          <w:sz w:val="54"/>
          <w:szCs w:val="54"/>
        </w:rPr>
        <w:t>G905 Water-borne Curing Agent</w:t>
      </w:r>
    </w:p>
    <w:p>
      <w:pPr>
        <w:keepNext w:val="0"/>
        <w:keepLines w:val="0"/>
        <w:widowControl/>
        <w:suppressLineNumbers w:val="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G905 is a hydrophilic aliphatic polyisocyanate based on hexamethylene diisocyanate (HDI). Because of the balance between moderate hydrophilicity and high functionality, waterborne two-component polyurethane and acrylic coatings prepared by G800 have the characteristics of fast drying, good fullness and fast hardening. The film formed has the characteristics of high ultimate hardness and excellent chemical resistance.</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kern w:val="0"/>
          <w:sz w:val="27"/>
          <w:szCs w:val="27"/>
          <w:lang w:val="en-US" w:eastAsia="zh-CN" w:bidi="ar"/>
        </w:rPr>
      </w:pPr>
      <w:r>
        <w:rPr>
          <w:rStyle w:val="5"/>
          <w:rFonts w:hint="eastAsia" w:ascii="宋体" w:hAnsi="宋体" w:eastAsia="宋体" w:cs="宋体"/>
          <w:b/>
          <w:i w:val="0"/>
          <w:caps w:val="0"/>
          <w:color w:val="555555"/>
          <w:spacing w:val="0"/>
          <w:kern w:val="0"/>
          <w:sz w:val="27"/>
          <w:szCs w:val="27"/>
          <w:lang w:val="en-US" w:eastAsia="zh-CN" w:bidi="ar"/>
        </w:rPr>
        <w:t>Product characteristics: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       Good compatibility: In the case of manual slow stirring, it can be directly added and used without any adverse effects.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       Long activation period: The activation period is affected by polymer content and other components (such as resins, thickeners, plasticizers, etc.).</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840" w:leftChars="0" w:right="0" w:firstLine="420" w:firstLineChars="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Excellent hardness, toughness and fullness.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840" w:leftChars="0" w:right="0" w:firstLine="420" w:firstLineChars="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Excellent water and chemical resistance</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840" w:leftChars="0" w:right="0" w:firstLine="420" w:firstLineChars="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Non-irritating odor</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840" w:leftChars="0" w:right="0" w:firstLine="420" w:firstLineChars="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Low moisture impact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Typical physical specifications:</w:t>
      </w:r>
    </w:p>
    <w:tbl>
      <w:tblPr>
        <w:tblStyle w:val="3"/>
        <w:tblW w:w="81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3399"/>
        <w:gridCol w:w="470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20" w:hRule="atLeast"/>
        </w:trPr>
        <w:tc>
          <w:tcPr>
            <w:tcW w:w="3399" w:type="dxa"/>
            <w:tcBorders>
              <w:left w:val="nil"/>
              <w:bottom w:val="nil"/>
              <w:right w:val="nil"/>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kern w:val="0"/>
                <w:sz w:val="24"/>
                <w:szCs w:val="24"/>
                <w:lang w:val="en-US" w:eastAsia="zh-CN" w:bidi="ar"/>
              </w:rPr>
              <w:t>Main ingredients</w:t>
            </w:r>
          </w:p>
        </w:tc>
        <w:tc>
          <w:tcPr>
            <w:tcW w:w="4701" w:type="dxa"/>
            <w:tcBorders>
              <w:top w:val="nil"/>
              <w:bottom w:val="nil"/>
              <w:right w:val="nil"/>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Hydrophilic aliphatic polyisocyanate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3399" w:type="dxa"/>
            <w:tcBorders>
              <w:left w:val="nil"/>
              <w:bottom w:val="nil"/>
              <w:right w:val="nil"/>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Appearance</w:t>
            </w:r>
          </w:p>
        </w:tc>
        <w:tc>
          <w:tcPr>
            <w:tcW w:w="4701" w:type="dxa"/>
            <w:tcBorders>
              <w:bottom w:val="nil"/>
              <w:right w:val="nil"/>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Colorless to yellowish transparent liquid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3399" w:type="dxa"/>
            <w:tcBorders>
              <w:left w:val="nil"/>
              <w:bottom w:val="nil"/>
              <w:right w:val="nil"/>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Solid content</w:t>
            </w:r>
          </w:p>
        </w:tc>
        <w:tc>
          <w:tcPr>
            <w:tcW w:w="4701" w:type="dxa"/>
            <w:tcBorders>
              <w:bottom w:val="nil"/>
              <w:right w:val="nil"/>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89-91%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3399" w:type="dxa"/>
            <w:tcBorders>
              <w:left w:val="nil"/>
              <w:bottom w:val="nil"/>
              <w:right w:val="nil"/>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lang w:val="en-US" w:eastAsia="zh-CN"/>
              </w:rPr>
              <w:t>V</w:t>
            </w:r>
            <w:r>
              <w:rPr>
                <w:rFonts w:hint="eastAsia" w:ascii="宋体" w:hAnsi="宋体" w:eastAsia="宋体" w:cs="宋体"/>
                <w:b/>
                <w:i w:val="0"/>
                <w:caps w:val="0"/>
                <w:color w:val="555555"/>
                <w:spacing w:val="0"/>
                <w:sz w:val="24"/>
                <w:szCs w:val="24"/>
              </w:rPr>
              <w:t>iscosity</w:t>
            </w:r>
          </w:p>
        </w:tc>
        <w:tc>
          <w:tcPr>
            <w:tcW w:w="4701" w:type="dxa"/>
            <w:tcBorders>
              <w:bottom w:val="nil"/>
              <w:right w:val="nil"/>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&lt;5000cps/25℃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3399" w:type="dxa"/>
            <w:tcBorders>
              <w:left w:val="nil"/>
              <w:bottom w:val="nil"/>
              <w:right w:val="nil"/>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NCO content</w:t>
            </w:r>
          </w:p>
        </w:tc>
        <w:tc>
          <w:tcPr>
            <w:tcW w:w="4701" w:type="dxa"/>
            <w:tcBorders>
              <w:bottom w:val="nil"/>
              <w:right w:val="nil"/>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15.5-17.5%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3399" w:type="dxa"/>
            <w:tcBorders>
              <w:left w:val="nil"/>
              <w:bottom w:val="nil"/>
              <w:right w:val="nil"/>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leftChars="0" w:right="0" w:rightChars="0"/>
              <w:jc w:val="left"/>
              <w:rPr>
                <w:rFonts w:hint="eastAsia" w:ascii="宋体" w:hAnsi="宋体" w:eastAsia="宋体" w:cs="宋体"/>
              </w:rPr>
            </w:pPr>
            <w:r>
              <w:rPr>
                <w:rFonts w:hint="eastAsia" w:ascii="宋体" w:hAnsi="宋体" w:eastAsia="宋体" w:cs="宋体"/>
                <w:b/>
                <w:i w:val="0"/>
                <w:caps w:val="0"/>
                <w:color w:val="555555"/>
                <w:spacing w:val="0"/>
                <w:sz w:val="24"/>
                <w:szCs w:val="24"/>
              </w:rPr>
              <w:t>Free monomer content</w:t>
            </w:r>
          </w:p>
        </w:tc>
        <w:tc>
          <w:tcPr>
            <w:tcW w:w="4701" w:type="dxa"/>
            <w:tcBorders>
              <w:bottom w:val="nil"/>
              <w:right w:val="nil"/>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&lt; 0.3% (by weight)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3399" w:type="dxa"/>
            <w:tcBorders>
              <w:left w:val="nil"/>
              <w:bottom w:val="nil"/>
              <w:right w:val="nil"/>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leftChars="0" w:right="0" w:rightChars="0"/>
              <w:jc w:val="left"/>
              <w:rPr>
                <w:rFonts w:hint="eastAsia" w:ascii="宋体" w:hAnsi="宋体" w:eastAsia="宋体" w:cs="宋体"/>
              </w:rPr>
            </w:pPr>
            <w:r>
              <w:rPr>
                <w:rFonts w:hint="eastAsia" w:ascii="宋体" w:hAnsi="宋体" w:eastAsia="宋体" w:cs="宋体"/>
                <w:b/>
                <w:i w:val="0"/>
                <w:caps w:val="0"/>
                <w:color w:val="555555"/>
                <w:spacing w:val="0"/>
                <w:sz w:val="24"/>
                <w:szCs w:val="24"/>
                <w:lang w:val="en-US" w:eastAsia="zh-CN"/>
              </w:rPr>
              <w:t>S</w:t>
            </w:r>
            <w:r>
              <w:rPr>
                <w:rFonts w:hint="eastAsia" w:ascii="宋体" w:hAnsi="宋体" w:eastAsia="宋体" w:cs="宋体"/>
                <w:b/>
                <w:i w:val="0"/>
                <w:caps w:val="0"/>
                <w:color w:val="555555"/>
                <w:spacing w:val="0"/>
                <w:sz w:val="24"/>
                <w:szCs w:val="24"/>
              </w:rPr>
              <w:t>olvent</w:t>
            </w:r>
          </w:p>
        </w:tc>
        <w:tc>
          <w:tcPr>
            <w:tcW w:w="4701" w:type="dxa"/>
            <w:tcBorders>
              <w:bottom w:val="nil"/>
              <w:right w:val="nil"/>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Polyol ether ester</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kern w:val="0"/>
          <w:sz w:val="27"/>
          <w:szCs w:val="27"/>
          <w:lang w:val="en-US" w:eastAsia="zh-CN" w:bidi="ar"/>
        </w:rPr>
      </w:pPr>
      <w:r>
        <w:rPr>
          <w:rStyle w:val="5"/>
          <w:rFonts w:hint="eastAsia" w:ascii="宋体" w:hAnsi="宋体" w:eastAsia="宋体" w:cs="宋体"/>
          <w:b/>
          <w:i w:val="0"/>
          <w:caps w:val="0"/>
          <w:color w:val="555555"/>
          <w:spacing w:val="0"/>
          <w:kern w:val="0"/>
          <w:sz w:val="27"/>
          <w:szCs w:val="27"/>
          <w:lang w:val="en-US" w:eastAsia="zh-CN" w:bidi="ar"/>
        </w:rPr>
        <w:t>Application Recommendation:</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       It can be used as crosslinking agent for water-borne hydroxyl resin or polyol and most neutral water-borne polymer dispersions such as polyurethane, polyvinyl acetate resin, polyacrylate and synthetic rubber dispersions.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Use Guidelines: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      Generally speaking, the product can be compatible with ester, ether ester, xylene and naphtha No. 100 solvent, solvent can not use alcohol or alcohol ether containing hydroxyl or amino group. The solubility and compatibility of each solvent should be tested. Only polyurethane grade solvents can be used. Water content should not exceed 0.05%. It is suggested that the solvent should not be added to the water-borne two-component coating system.</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kern w:val="0"/>
          <w:sz w:val="27"/>
          <w:szCs w:val="27"/>
          <w:lang w:val="en-US" w:eastAsia="zh-CN" w:bidi="ar"/>
        </w:rPr>
      </w:pPr>
      <w:r>
        <w:rPr>
          <w:rStyle w:val="5"/>
          <w:rFonts w:hint="eastAsia" w:ascii="宋体" w:hAnsi="宋体" w:eastAsia="宋体" w:cs="宋体"/>
          <w:b/>
          <w:i w:val="0"/>
          <w:caps w:val="0"/>
          <w:color w:val="555555"/>
          <w:spacing w:val="0"/>
          <w:kern w:val="0"/>
          <w:sz w:val="27"/>
          <w:szCs w:val="27"/>
          <w:lang w:val="en-US" w:eastAsia="zh-CN" w:bidi="ar"/>
        </w:rPr>
        <w:t>Packing specifications: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      Provide 60kg packing.</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Storage requirements: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      The product is very sensitive to humidity, so it must be stored in sealed containers and used up as soon as possible after opening. Storage ambient temperature should be 15 - 35 C, can not be stored under direct sunlight conditions, this product can be used within six months. Six months later, it can still be used after passing the inspection.</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FF0000"/>
          <w:spacing w:val="0"/>
          <w:sz w:val="27"/>
          <w:szCs w:val="27"/>
        </w:rPr>
      </w:pPr>
      <w:r>
        <w:rPr>
          <w:rStyle w:val="5"/>
          <w:rFonts w:hint="eastAsia" w:ascii="宋体" w:hAnsi="宋体" w:eastAsia="宋体" w:cs="宋体"/>
          <w:b/>
          <w:i w:val="0"/>
          <w:caps w:val="0"/>
          <w:color w:val="FF0000"/>
          <w:spacing w:val="0"/>
          <w:sz w:val="27"/>
          <w:szCs w:val="27"/>
        </w:rPr>
        <w:t>Security Statement: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       This product contains trace irritant substances, such as adhering to the hands and washing with water. If it splashes into the eyes, we recommend to wash it with plenty of clean water and then go to the hospital for detailed examination to ensure safety.</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FF0000"/>
          <w:spacing w:val="0"/>
          <w:sz w:val="27"/>
          <w:szCs w:val="27"/>
        </w:rPr>
      </w:pPr>
      <w:r>
        <w:rPr>
          <w:rStyle w:val="5"/>
          <w:rFonts w:hint="eastAsia" w:ascii="宋体" w:hAnsi="宋体" w:eastAsia="宋体" w:cs="宋体"/>
          <w:b/>
          <w:i w:val="0"/>
          <w:caps w:val="0"/>
          <w:color w:val="FF0000"/>
          <w:spacing w:val="0"/>
          <w:sz w:val="27"/>
          <w:szCs w:val="27"/>
        </w:rPr>
        <w:t>Disclaimer:</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       The above data and suggestions are based on what we believe to be reliable information. We sincerely provide the above data, but can not guarantee that they will be used as conditions and methods of our control. We recommend that customers determine their applicability before choosing our products and adopting our suggestions.</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FA4F77"/>
    <w:rsid w:val="45FA4F77"/>
    <w:rsid w:val="5FFF69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Office_11.1.0.8573_F1E327BC-269C-435d-A152-05C5408002CA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2019-03-06T06:07:00Z</dcterms:created>
  <dc:creator>Administrator</dc:creator>
  <cp:lastModifiedBy>Administrator</cp:lastModifiedBy>
  <dcterms:modified xsi:type="dcterms:W3CDTF">2019-04-01T08:14:38Z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2052-11.1.0.8573</vt:lpwstr>
  </property>
</Properties>
</file>